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 xml:space="preserve">KLAUZULA INFORMACYJNA RODO przeznaczona dla klientów MGOPS </w:t>
        <w:br/>
        <w:t>ubiegających się o świadczenia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sz w:val="24"/>
        </w:rPr>
      </w:pPr>
      <w:r>
        <w:rPr>
          <w:rFonts w:eastAsia="Calibri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  <w:br/>
        <w:t>Administrator informuje, że: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1. Administrator Danych Osobowych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Administratorem Pani/Pana Danych Osobowych jest Miejsko-Gminny Ośrodek Pomocy Społecznej                       w Węglińcu, z siedzibą przy ul. Kościuszki 26A, 59-940 Węgliniec, reprezentowany przez Kierownika.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2. Inspektor Ochrony Danych</w:t>
      </w:r>
    </w:p>
    <w:p>
      <w:pPr>
        <w:pStyle w:val="Normal"/>
        <w:jc w:val="both"/>
        <w:rPr/>
      </w:pPr>
      <w:r>
        <w:rPr/>
        <w:t>Kontakt z Inspektorem Ochrony Danych Osobowych – p. Januszem Wyspiański możliwy jest                                       za pośrednictwem adresu e-mail: januszwyspianski@abi24.eu oraz numerem telefonu: 600 246 497.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 xml:space="preserve">3. Podstawa prawna przetwarzania 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Administrator danych osobowych przetwarza Pani/Pana dane osobowe na podstawie obowiązujących przepisów prawa, zawartych umów oraz na podstawie udzielonej zgody.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4. Cel przetwarzania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Pani/Pana dane osobowe przetwarzane będą w celu ustalenia uprawnień do świadczeń.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5. Odbiorcy danych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Dostęp do Pani/Pana danych osobowych mogą mieć: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upoważnieni pracownicy MGOPS,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usługodawcy, którym w drodze umowy powierzono przetwarzanie danych na potrzeby realizacji usług świadczonych dla MGOPS,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podmioty i organy uprawnione do otrzymania danych na podstawie przepisów prawa. 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Od odbiorców danych wymagamy zachowania poufności i bezpieczeństwa informacji oraz wykorzystania ich jedynie do zapewnienia danej usługi.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6. Okres przechowywania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Pani/Pana dane osobowe będą przetwarzane i przechowywane przez okres niezbędny do realizacji celów określonych powyżej, a po tym czasie przez okres wymagany przez przepisy prawa upoważniające do zachowania, kontroli i archiwizacji pozyskanych danych.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Okres ten wynosi: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2 lata przy obsłudze obniżki dochodowej;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b) 5 lat przy obsłudze następujących świadczeń: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dodatki mieszkaniowe i energetyczne,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świadczenia dla uczniów i żołnierzy rezerwy;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c) 10 lat przy obsłudze następujących świadczeń: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zasiłki rodzinne, jednorazowa zapomoga z tytułu urodzenia się dziecka, świadczenie rodzicielskie, świadczenie wychowawcze (500+), świadczenie „Dobry Start” (300+),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zasiłki pielęgnacyjne, jednorazowe świadczenie „Za życiem”,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- świadczenia z funduszu alimentacyjnego;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d) 25 lat przy obsłudze następujących świadczeń: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</w:rPr>
        <w:t>- świadczenie pielęgnacyjne, specjalny zasiłek opiekuńczy i zasiłek dla opiekuna.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7. Prawa osób, których dane są przetwarzane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Prawo dostępu do danych osobowych 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Ma Pani/Pan prawo dostępu do treści swoich danych osobowych oraz do ich sprostowania (poprawienia). 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W zakresie wynikającym z przepisów prawa może Pani/Pan żądać ich usunięcia, ograniczenia ich przetwarzania lub wniesienia sprzeciwu wobec ich przetwarzania, jeśli dane nie są już niezbędne do celów, w których zostały zebrane.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Prawo cofnięcia zgody na przetwarzanie danych osobowych 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O ile przetwarzanie danych osobowych odbywa się na podstawie Pani/Pana zgody, ma Pani/Pan prawo do cofnięcia tej zgody bez wpływu na zgodność z prawem przetwarzania, którego dokonano na podstawie zgody przed jej cofnięciem.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Prawo wniesienia skargi do organu nadzorczego 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Ma Pani/Pan możliwość złożenia skargi do Prezesa Urzędu Ochrony Danych Osobowych. Biuro Prezesa Urzędu Ochrony Danych Osobowych, ul. Stawki 2, 00-193 Warszawa</w:t>
      </w:r>
    </w:p>
    <w:p>
      <w:pPr>
        <w:pStyle w:val="Normal"/>
        <w:spacing w:before="0" w:after="200"/>
        <w:ind w:left="360" w:hanging="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8. Dobrowolność podania danych osobowych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Podanie przez Panią/Pana danych osobowych jest wymogiem ustawowym niezbędnym do ustalenia uprawnień do świadczeń. 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Konsekwencją niepodania tych danych będzie pozostawienie Pani/Pana wniosku bez rozpoznania.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9. Profilowanie</w:t>
      </w:r>
    </w:p>
    <w:p>
      <w:pPr>
        <w:pStyle w:val="Normal"/>
        <w:spacing w:before="0" w:after="200"/>
        <w:jc w:val="both"/>
        <w:rPr/>
      </w:pPr>
      <w:r>
        <w:rPr>
          <w:rFonts w:eastAsia="Calibri" w:cs="Times New Roman"/>
        </w:rPr>
        <w:t>Pani/Pana dane nie będą przetwarzane w sposób zautomatyzowany i nie będą profilowane.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576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 LibreOffice_project/86daf60bf00efa86ad547e59e09d6bb77c699acb</Application>
  <Pages>2</Pages>
  <Words>503</Words>
  <Characters>3287</Characters>
  <CharactersWithSpaces>3814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2023-04-03T15:49:00Z</dcterms:created>
  <dc:creator>lenovo</dc:creator>
  <dc:description/>
  <dc:language>pl-PL</dc:language>
  <cp:lastModifiedBy>Janusz Wyspianski</cp:lastModifiedBy>
  <dcterms:modified xsi:type="dcterms:W3CDTF">2023-04-03T15:51:00Z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